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様式第４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9096"/>
      </w:tblGrid>
      <w:tr>
        <w:trPr>
          <w:trHeight w:val="9335" w:hRule="atLeast"/>
        </w:trPr>
        <w:tc>
          <w:tcPr>
            <w:tcW w:w="9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中小企業信用保険法第２条第５項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第４号の規定による認定申請書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令和　　年　　月　　日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</w:rPr>
              <w:t>　小鹿野町</w:t>
            </w:r>
            <w:r>
              <w:rPr>
                <w:rFonts w:hint="eastAsia" w:ascii="ＭＳ ゴシック" w:hAnsi="ＭＳ ゴシック"/>
                <w:spacing w:val="12"/>
              </w:rPr>
              <w:t>長　　殿</w:t>
            </w:r>
          </w:p>
          <w:p>
            <w:pPr>
              <w:pStyle w:val="0"/>
              <w:spacing w:line="360" w:lineRule="auto"/>
              <w:ind w:firstLine="3849" w:firstLineChars="1500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申請者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氏　名　　　　　　　　　　　　　　印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　私は、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災害その他突発的に生じた事由</w:t>
            </w:r>
            <w:r>
              <w:rPr>
                <w:rFonts w:hint="eastAsia" w:ascii="ＭＳ ゴシック" w:hAnsi="ＭＳ ゴシック"/>
                <w:spacing w:val="12"/>
              </w:rPr>
              <w:t>（注１）の発生に起因して、下記のとおり、経営の安定に支障が生じておりますので、中小企業信用保険法第２条第５項第４号の規定に基づき認定されるようお願いします。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記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</w:rPr>
              <w:t>１　事業開始年月日</w:t>
            </w:r>
            <w:r>
              <w:rPr>
                <w:rFonts w:hint="eastAsia" w:ascii="ＭＳ ゴシック" w:hAnsi="ＭＳ ゴシック"/>
                <w:spacing w:val="12"/>
              </w:rPr>
              <w:tab/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年　　月　　日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２</w:t>
            </w:r>
            <w:r>
              <w:rPr>
                <w:rFonts w:hint="eastAsia" w:ascii="ＭＳ ゴシック" w:hAnsi="ＭＳ ゴシック"/>
                <w:spacing w:val="12"/>
              </w:rPr>
              <w:t xml:space="preserve"> </w:t>
            </w:r>
            <w:r>
              <w:rPr>
                <w:rFonts w:hint="eastAsia" w:ascii="ＭＳ ゴシック" w:hAnsi="ＭＳ ゴシック"/>
                <w:spacing w:val="12"/>
              </w:rPr>
              <w:t>（１）売上高等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</w:rPr>
              <w:t>　　</w:t>
            </w:r>
            <w:r>
              <w:rPr>
                <w:rFonts w:hint="eastAsia" w:ascii="ＭＳ ゴシック" w:hAnsi="ＭＳ ゴシック"/>
                <w:spacing w:val="12"/>
              </w:rPr>
              <w:t>（イ）最近１か月間の売上高等</w:t>
            </w:r>
            <w:r>
              <w:rPr>
                <w:rFonts w:hint="eastAsia" w:ascii="ＭＳ ゴシック" w:hAnsi="ＭＳ ゴシック"/>
                <w:spacing w:val="12"/>
              </w:rPr>
              <w:tab/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減少率　　　　％（実績）</w:t>
            </w:r>
          </w:p>
          <w:p>
            <w:pPr>
              <w:pStyle w:val="0"/>
              <w:ind w:firstLine="1773" w:firstLineChars="691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（Ｂ－Ａ）／Ｂ×</w:t>
            </w:r>
            <w:r>
              <w:rPr>
                <w:rFonts w:hint="default" w:ascii="ＭＳ ゴシック" w:hAnsi="ＭＳ ゴシック"/>
                <w:spacing w:val="12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Ａ：災害等の発生における最近１か月間の売上高等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</w:t>
            </w:r>
            <w:r>
              <w:rPr>
                <w:rFonts w:hint="eastAsia" w:ascii="ＭＳ ゴシック" w:hAnsi="ＭＳ ゴシック"/>
                <w:spacing w:val="12"/>
              </w:rPr>
              <w:t>　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Ｂ：Ａの期間に対応する前年１か月間の売上高等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　　　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（ロ）最近３か月間の売上高等の実績見込み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減少率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％（実績見込み）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（（Ｂ＋Ｄ）－（Ａ＋Ｃ））／（Ｂ＋Ｄ）×</w:t>
            </w:r>
            <w:r>
              <w:rPr>
                <w:rFonts w:hint="default" w:ascii="ＭＳ ゴシック" w:hAnsi="ＭＳ ゴシック"/>
                <w:spacing w:val="12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Ｃ：Ａの期間後２か月間の見込み売上高等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</w:rPr>
              <w:t>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        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6"/>
              </w:rPr>
              <w:t>Ｄ</w:t>
            </w:r>
            <w:r>
              <w:rPr>
                <w:rFonts w:hint="eastAsia" w:ascii="ＭＳ ゴシック" w:hAnsi="ＭＳ ゴシック"/>
                <w:spacing w:val="12"/>
              </w:rPr>
              <w:t>：Ｃの期間に対応する前年の２か月間の売上高等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12"/>
                <w:u w:val="single" w:color="auto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</w:rPr>
              <w:t>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円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３　売上高等が減少し、又は減少すると見込まれる理由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（注１）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には、「災害その他突発的に生じた事由」を入れる。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（注２）２の（ロ）の見込み売上高等には、実績を記入することができる。</w:t>
      </w:r>
    </w:p>
    <w:p>
      <w:pPr>
        <w:pStyle w:val="0"/>
        <w:snapToGrid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（留意事項）</w:t>
      </w:r>
    </w:p>
    <w:p>
      <w:pPr>
        <w:pStyle w:val="0"/>
        <w:snapToGrid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①　本認定とは別に、金融機関及び信用保証協会による金融上の審査があります。</w:t>
      </w:r>
    </w:p>
    <w:p>
      <w:pPr>
        <w:pStyle w:val="0"/>
        <w:snapToGrid w:val="0"/>
        <w:ind w:left="465" w:hanging="465" w:hangingChars="2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napToGrid w:val="0"/>
        <w:ind w:left="465" w:hanging="465" w:hangingChars="200"/>
        <w:rPr>
          <w:rFonts w:hint="default" w:ascii="ＭＳ ゴシック" w:hAnsi="ＭＳ ゴシック"/>
        </w:rPr>
      </w:pPr>
    </w:p>
    <w:p>
      <w:pPr>
        <w:pStyle w:val="18"/>
        <w:ind w:firstLine="257" w:firstLineChars="100"/>
        <w:jc w:val="both"/>
        <w:rPr>
          <w:rFonts w:hint="default"/>
          <w:spacing w:val="0"/>
        </w:rPr>
      </w:pPr>
      <w:r>
        <w:rPr>
          <w:rFonts w:hint="eastAsia"/>
        </w:rPr>
        <w:t>第　　　号　令和　　年　　月　　日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申請のとおり、相違ないことを認定します。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ゴシック" w:hAnsi="ＭＳ ゴシック"/>
        </w:rPr>
        <w:t>小鹿野町長　　</w:t>
      </w:r>
      <w:r>
        <w:rPr>
          <w:rFonts w:hint="eastAsia" w:ascii="ＭＳ ゴシック" w:hAnsi="ＭＳ ゴシック"/>
          <w:spacing w:val="12"/>
        </w:rPr>
        <w:t>森　　真　太　郎　　　</w:t>
      </w:r>
    </w:p>
    <w:sectPr>
      <w:footerReference r:id="rId5" w:type="even"/>
      <w:pgSz w:w="11906" w:h="16838"/>
      <w:pgMar w:top="1134" w:right="1418" w:bottom="851" w:left="1418" w:header="0" w:footer="0" w:gutter="0"/>
      <w:cols w:space="720"/>
      <w:noEndnote w:val="1"/>
      <w:textDirection w:val="lrTb"/>
      <w:docGrid w:type="linesAndChars" w:linePitch="304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16"/>
  <w:drawingGridVerticalSpacing w:val="15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hAnsi="ＭＳ 明朝" w:eastAsia="ＭＳ ゴシック"/>
      <w:spacing w:val="16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Closing"/>
    <w:basedOn w:val="0"/>
    <w:next w:val="0"/>
    <w:link w:val="0"/>
    <w:uiPriority w:val="0"/>
    <w:pPr>
      <w:jc w:val="right"/>
    </w:pPr>
    <w:rPr>
      <w:rFonts w:ascii="ＭＳ ゴシック" w:hAnsi="ＭＳ ゴシック"/>
      <w:spacing w:val="12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/>
      <w:spacing w:val="1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151</Words>
  <Characters>865</Characters>
  <Application>JUST Note</Application>
  <Lines>7</Lines>
  <Paragraphs>2</Paragraphs>
  <Company>Hewlett-Packard Company</Company>
  <CharactersWithSpaces>1014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引間　淳夫</dc:creator>
  <cp:lastModifiedBy>高野　好幸</cp:lastModifiedBy>
  <cp:lastPrinted>2014-04-08T04:51:00Z</cp:lastPrinted>
  <dcterms:created xsi:type="dcterms:W3CDTF">2014-04-08T02:52:00Z</dcterms:created>
  <dcterms:modified xsi:type="dcterms:W3CDTF">2014-04-08T07:12:40Z</dcterms:modified>
  <cp:revision>4</cp:revision>
</cp:coreProperties>
</file>